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2FDE" w14:textId="77777777" w:rsidR="00240C8D" w:rsidRPr="00240C8D" w:rsidRDefault="00240C8D" w:rsidP="00240C8D">
      <w:pPr>
        <w:bidi/>
        <w:rPr>
          <w:rFonts w:asciiTheme="minorBidi" w:hAnsiTheme="minorBidi"/>
          <w:b/>
          <w:bCs/>
          <w:lang w:bidi="ar-EG"/>
        </w:rPr>
      </w:pPr>
      <w:r w:rsidRPr="00240C8D">
        <w:rPr>
          <w:rFonts w:asciiTheme="minorBidi" w:hAnsiTheme="minorBidi" w:cs="Arial"/>
          <w:b/>
          <w:bCs/>
          <w:rtl/>
          <w:lang w:bidi="ar-EG"/>
        </w:rPr>
        <w:t>بيان صحفي رقم. 26/2024</w:t>
      </w:r>
    </w:p>
    <w:p w14:paraId="5E381D1B" w14:textId="77777777" w:rsidR="00240C8D" w:rsidRPr="00240C8D" w:rsidRDefault="00240C8D" w:rsidP="00240C8D">
      <w:pPr>
        <w:bidi/>
        <w:rPr>
          <w:rFonts w:asciiTheme="minorBidi" w:hAnsiTheme="minorBidi"/>
          <w:b/>
          <w:bCs/>
          <w:lang w:bidi="ar-EG"/>
        </w:rPr>
      </w:pPr>
    </w:p>
    <w:p w14:paraId="29C17D43" w14:textId="77777777" w:rsidR="00240C8D" w:rsidRPr="00240C8D" w:rsidRDefault="00240C8D" w:rsidP="00240C8D">
      <w:pPr>
        <w:bidi/>
        <w:rPr>
          <w:rFonts w:asciiTheme="minorBidi" w:hAnsiTheme="minorBidi"/>
          <w:b/>
          <w:bCs/>
          <w:lang w:bidi="ar-EG"/>
        </w:rPr>
      </w:pPr>
      <w:r w:rsidRPr="00240C8D">
        <w:rPr>
          <w:rFonts w:asciiTheme="minorBidi" w:hAnsiTheme="minorBidi" w:cs="Arial"/>
          <w:b/>
          <w:bCs/>
          <w:rtl/>
          <w:lang w:bidi="ar-EG"/>
        </w:rPr>
        <w:t>الآلات الزراعية: الأسواق في تراجع، في انتظار الانتعاش</w:t>
      </w:r>
    </w:p>
    <w:p w14:paraId="7EEF2EC1" w14:textId="77777777" w:rsidR="00240C8D" w:rsidRPr="00240C8D" w:rsidRDefault="00240C8D" w:rsidP="00240C8D">
      <w:pPr>
        <w:bidi/>
        <w:rPr>
          <w:rFonts w:asciiTheme="minorBidi" w:hAnsiTheme="minorBidi"/>
          <w:b/>
          <w:bCs/>
          <w:lang w:bidi="ar-EG"/>
        </w:rPr>
      </w:pPr>
    </w:p>
    <w:p w14:paraId="3914EB79" w14:textId="6333C56D" w:rsidR="003932CA" w:rsidRPr="00240C8D" w:rsidRDefault="00240C8D" w:rsidP="00240C8D">
      <w:pPr>
        <w:bidi/>
        <w:rPr>
          <w:rFonts w:asciiTheme="minorBidi" w:hAnsiTheme="minorBidi" w:cs="Arial"/>
          <w:b/>
          <w:bCs/>
          <w:rtl/>
          <w:lang w:bidi="ar-EG"/>
        </w:rPr>
      </w:pPr>
      <w:r w:rsidRPr="00240C8D">
        <w:rPr>
          <w:rFonts w:asciiTheme="minorBidi" w:hAnsiTheme="minorBidi" w:cs="Arial"/>
          <w:b/>
          <w:bCs/>
          <w:rtl/>
          <w:lang w:bidi="ar-EG"/>
        </w:rPr>
        <w:t>في الأشهر الستة الأولى من عام 2024، أدى الأداء غير المواتي للقطاعين الزراعي والصناعي إلى تباطؤ مبيعات الجرارات في السوق الدولية، والتي سجلت انخفاضًا إجماليًا بنسبة 12٪ مقارنة بالفترة نفسها من عام 2023. ومن غير المتوقع حدوث أي انعكاسات في الاتجاه لبقية العام</w:t>
      </w:r>
      <w:r w:rsidRPr="00240C8D">
        <w:rPr>
          <w:rFonts w:asciiTheme="minorBidi" w:hAnsiTheme="minorBidi" w:cs="Arial" w:hint="cs"/>
          <w:b/>
          <w:bCs/>
          <w:rtl/>
          <w:lang w:bidi="ar-EG"/>
        </w:rPr>
        <w:t xml:space="preserve">. </w:t>
      </w:r>
      <w:r w:rsidRPr="00240C8D">
        <w:rPr>
          <w:rFonts w:asciiTheme="minorBidi" w:hAnsiTheme="minorBidi" w:cs="Arial"/>
          <w:b/>
          <w:bCs/>
          <w:rtl/>
          <w:lang w:bidi="ar-EG"/>
        </w:rPr>
        <w:t>ويعود هذا الانخفاض إلى عوامل اقتصادية، وليس إلى انخفاض الحاجة إلى التكنولوجيات، مدفوعا بالتطور المستمر للزراعة. إن التوفيق بين الإنتاجية والاستدامة هو الهدف ذو الأولوية.</w:t>
      </w:r>
    </w:p>
    <w:p w14:paraId="5938F106" w14:textId="77777777" w:rsidR="00240C8D" w:rsidRDefault="00240C8D" w:rsidP="00240C8D">
      <w:pPr>
        <w:bidi/>
        <w:rPr>
          <w:rFonts w:asciiTheme="minorBidi" w:hAnsiTheme="minorBidi" w:cs="Arial"/>
          <w:rtl/>
          <w:lang w:bidi="ar-EG"/>
        </w:rPr>
      </w:pPr>
    </w:p>
    <w:p w14:paraId="5339EBEF" w14:textId="1CC66EA9" w:rsidR="00240C8D" w:rsidRPr="00240C8D" w:rsidRDefault="00240C8D" w:rsidP="00240C8D">
      <w:pPr>
        <w:bidi/>
        <w:rPr>
          <w:rFonts w:asciiTheme="minorBidi" w:hAnsiTheme="minorBidi"/>
          <w:lang w:bidi="ar-EG"/>
        </w:rPr>
      </w:pPr>
      <w:r w:rsidRPr="00240C8D">
        <w:rPr>
          <w:rFonts w:asciiTheme="minorBidi" w:hAnsiTheme="minorBidi" w:cs="Arial"/>
          <w:rtl/>
          <w:lang w:bidi="ar-EG"/>
        </w:rPr>
        <w:t>يتأثر قطاع الآلات الزراعية بشكل مباشر بالمتغيرات التي تؤثر على الاقتصادين الصناعي والزراعي. وفي العام الماضي و</w:t>
      </w:r>
      <w:r w:rsidR="004353CE">
        <w:rPr>
          <w:rFonts w:asciiTheme="minorBidi" w:hAnsiTheme="minorBidi" w:cs="Arial" w:hint="cs"/>
          <w:rtl/>
          <w:lang w:bidi="ar-EG"/>
        </w:rPr>
        <w:t>كذلك</w:t>
      </w:r>
      <w:r w:rsidRPr="00240C8D">
        <w:rPr>
          <w:rFonts w:asciiTheme="minorBidi" w:hAnsiTheme="minorBidi" w:cs="Arial"/>
          <w:rtl/>
          <w:lang w:bidi="ar-EG"/>
        </w:rPr>
        <w:t xml:space="preserve"> الحالي، تأثر أداء القطاع الصناعي بارتفاع تكلفة المواد الخام وإمدادات الطاقة - المرتبطة بالعوامل الجيوسياسية والحرب في الشرق الأوسط - </w:t>
      </w:r>
      <w:r w:rsidR="003870DF" w:rsidRPr="003870DF">
        <w:rPr>
          <w:rFonts w:asciiTheme="minorBidi" w:hAnsiTheme="minorBidi" w:cs="Arial"/>
          <w:rtl/>
          <w:lang w:bidi="ar-EG"/>
        </w:rPr>
        <w:t>في حين أدت السياسات النقدية التقييدية المطبقة لاحتواء التضخم إلى الحد من إمكانية الحصول على الائتمان وتباطؤ الاستثمارات.</w:t>
      </w:r>
    </w:p>
    <w:p w14:paraId="642AFC93" w14:textId="131A3EFC" w:rsidR="00240C8D" w:rsidRDefault="00240C8D" w:rsidP="00240C8D">
      <w:pPr>
        <w:bidi/>
        <w:rPr>
          <w:rFonts w:asciiTheme="minorBidi" w:hAnsiTheme="minorBidi" w:cs="Arial"/>
          <w:rtl/>
          <w:lang w:bidi="ar-EG"/>
        </w:rPr>
      </w:pPr>
      <w:r w:rsidRPr="00240C8D">
        <w:rPr>
          <w:rFonts w:asciiTheme="minorBidi" w:hAnsiTheme="minorBidi" w:cs="Arial"/>
          <w:rtl/>
          <w:lang w:bidi="ar-EG"/>
        </w:rPr>
        <w:t xml:space="preserve">وفي الوقت نفسه، لا يشهد الاقتصاد الزراعي تحسناً كبيراً من حيث الإنتاج والربحية. ومن المتوقع أن تؤكد السنة الزراعية 2024-25 </w:t>
      </w:r>
      <w:r w:rsidR="003870DF">
        <w:rPr>
          <w:rFonts w:asciiTheme="minorBidi" w:hAnsiTheme="minorBidi" w:cs="Arial" w:hint="cs"/>
          <w:rtl/>
          <w:lang w:bidi="ar-EG"/>
        </w:rPr>
        <w:t xml:space="preserve">أرقام </w:t>
      </w:r>
      <w:r w:rsidRPr="00240C8D">
        <w:rPr>
          <w:rFonts w:asciiTheme="minorBidi" w:hAnsiTheme="minorBidi" w:cs="Arial"/>
          <w:rtl/>
          <w:lang w:bidi="ar-EG"/>
        </w:rPr>
        <w:t>السنة السابقة (-0.05%)</w:t>
      </w:r>
      <w:r w:rsidR="003870DF">
        <w:rPr>
          <w:rFonts w:asciiTheme="minorBidi" w:hAnsiTheme="minorBidi" w:cs="Arial" w:hint="cs"/>
          <w:rtl/>
          <w:lang w:bidi="ar-EG"/>
        </w:rPr>
        <w:t xml:space="preserve"> بالنسبه للحبوب</w:t>
      </w:r>
      <w:r w:rsidRPr="00240C8D">
        <w:rPr>
          <w:rFonts w:asciiTheme="minorBidi" w:hAnsiTheme="minorBidi" w:cs="Arial"/>
          <w:rtl/>
          <w:lang w:bidi="ar-EG"/>
        </w:rPr>
        <w:t xml:space="preserve">، مع زيادة الإنتاج في أستراليا (القمح) والولايات المتحدة (الذرة) والهند (الأرز)، ولكن مع انخفاض معمم في أوروبا ( -7%) بسبب الظروف الجوية غير المواتية. ومع ذلك، في عام 2024، تم تسجيل زيادة محدودة (+0.7٪) في إنتاج اللحوم العالمي، </w:t>
      </w:r>
      <w:r w:rsidR="003870DF">
        <w:rPr>
          <w:rFonts w:asciiTheme="minorBidi" w:hAnsiTheme="minorBidi" w:cs="Arial" w:hint="cs"/>
          <w:rtl/>
          <w:lang w:bidi="ar-EG"/>
        </w:rPr>
        <w:t>بدفعة</w:t>
      </w:r>
      <w:r w:rsidRPr="00240C8D">
        <w:rPr>
          <w:rFonts w:asciiTheme="minorBidi" w:hAnsiTheme="minorBidi" w:cs="Arial"/>
          <w:rtl/>
          <w:lang w:bidi="ar-EG"/>
        </w:rPr>
        <w:t xml:space="preserve"> </w:t>
      </w:r>
      <w:r w:rsidR="003870DF">
        <w:rPr>
          <w:rFonts w:asciiTheme="minorBidi" w:hAnsiTheme="minorBidi" w:cs="Arial" w:hint="cs"/>
          <w:rtl/>
          <w:lang w:bidi="ar-EG"/>
        </w:rPr>
        <w:t xml:space="preserve">من </w:t>
      </w:r>
      <w:r w:rsidRPr="00240C8D">
        <w:rPr>
          <w:rFonts w:asciiTheme="minorBidi" w:hAnsiTheme="minorBidi" w:cs="Arial"/>
          <w:rtl/>
          <w:lang w:bidi="ar-EG"/>
        </w:rPr>
        <w:t>أمريكا الجنوبية وأوقيانوسيا، مما عوض الانخفاض في الصين وأمريكا الشمالية وأوروبا.</w:t>
      </w:r>
    </w:p>
    <w:p w14:paraId="32D3918D" w14:textId="1EF95474" w:rsidR="003870DF" w:rsidRPr="003870DF" w:rsidRDefault="003870DF" w:rsidP="003870DF">
      <w:pPr>
        <w:bidi/>
        <w:rPr>
          <w:rFonts w:asciiTheme="minorBidi" w:hAnsiTheme="minorBidi"/>
          <w:lang w:bidi="ar-EG"/>
        </w:rPr>
      </w:pPr>
      <w:r w:rsidRPr="003870DF">
        <w:rPr>
          <w:rFonts w:asciiTheme="minorBidi" w:hAnsiTheme="minorBidi" w:cs="Arial"/>
          <w:rtl/>
          <w:lang w:bidi="ar-EG"/>
        </w:rPr>
        <w:t>لقد أثر الوضع الاقتصادي الذي ميز أداء القطاعين الزراعي والصناعي على سوق الميكانيكا الزراعية العالمية. إن التكلفة المتزايدة للوسائل الميكانيكية  بالإضافة إلى صعوبة الحصول على الائتمان والأداء غير المواتي للقطاع الأولي قد أدى في الواقع إلى انخفاض في الاستثمارات لشراء التقنيات الجديدة</w:t>
      </w:r>
      <w:r w:rsidR="00987F74">
        <w:rPr>
          <w:rFonts w:asciiTheme="minorBidi" w:hAnsiTheme="minorBidi" w:cs="Arial" w:hint="cs"/>
          <w:rtl/>
          <w:lang w:bidi="ar-EG"/>
        </w:rPr>
        <w:t xml:space="preserve"> و</w:t>
      </w:r>
      <w:r w:rsidR="00987F74" w:rsidRPr="003870DF">
        <w:rPr>
          <w:rFonts w:asciiTheme="minorBidi" w:hAnsiTheme="minorBidi" w:cs="Arial"/>
          <w:rtl/>
          <w:lang w:bidi="ar-EG"/>
        </w:rPr>
        <w:t xml:space="preserve">هذا هو السيناريو الذي أوضحته </w:t>
      </w:r>
      <w:r w:rsidR="00987F74">
        <w:rPr>
          <w:rFonts w:asciiTheme="minorBidi" w:hAnsiTheme="minorBidi" w:cs="Arial" w:hint="cs"/>
          <w:rtl/>
          <w:lang w:bidi="ar-EG"/>
        </w:rPr>
        <w:t>مؤسسة</w:t>
      </w:r>
      <w:r w:rsidR="00987F74" w:rsidRPr="003870DF">
        <w:rPr>
          <w:rFonts w:asciiTheme="minorBidi" w:hAnsiTheme="minorBidi" w:cs="Arial"/>
          <w:rtl/>
          <w:lang w:bidi="ar-EG"/>
        </w:rPr>
        <w:t xml:space="preserve"> </w:t>
      </w:r>
      <w:r w:rsidR="00987F74" w:rsidRPr="003870DF">
        <w:rPr>
          <w:rFonts w:asciiTheme="minorBidi" w:hAnsiTheme="minorBidi"/>
          <w:lang w:bidi="ar-EG"/>
        </w:rPr>
        <w:t>FederUnacoma</w:t>
      </w:r>
      <w:r w:rsidR="00987F74" w:rsidRPr="003870DF">
        <w:rPr>
          <w:rFonts w:asciiTheme="minorBidi" w:hAnsiTheme="minorBidi" w:cs="Arial"/>
          <w:rtl/>
          <w:lang w:bidi="ar-EG"/>
        </w:rPr>
        <w:t xml:space="preserve"> بعد ظهر اليوم في بولونيا، بمناسبة المؤتمر الصحفي لتقديم </w:t>
      </w:r>
      <w:r w:rsidR="00987F74" w:rsidRPr="003870DF">
        <w:rPr>
          <w:rFonts w:asciiTheme="minorBidi" w:hAnsiTheme="minorBidi"/>
          <w:lang w:bidi="ar-EG"/>
        </w:rPr>
        <w:t>EIMA International</w:t>
      </w:r>
      <w:r w:rsidRPr="003870DF">
        <w:rPr>
          <w:rFonts w:asciiTheme="minorBidi" w:hAnsiTheme="minorBidi" w:cs="Arial"/>
          <w:rtl/>
          <w:lang w:bidi="ar-EG"/>
        </w:rPr>
        <w:t>.</w:t>
      </w:r>
    </w:p>
    <w:p w14:paraId="12F4A08B" w14:textId="01FEDA23" w:rsidR="003870DF" w:rsidRDefault="003870DF" w:rsidP="003870DF">
      <w:pPr>
        <w:bidi/>
        <w:rPr>
          <w:rFonts w:asciiTheme="minorBidi" w:hAnsiTheme="minorBidi" w:cs="Arial"/>
          <w:rtl/>
          <w:lang w:bidi="ar-EG"/>
        </w:rPr>
      </w:pPr>
      <w:r w:rsidRPr="003870DF">
        <w:rPr>
          <w:rFonts w:asciiTheme="minorBidi" w:hAnsiTheme="minorBidi" w:cs="Arial"/>
          <w:rtl/>
          <w:lang w:bidi="ar-EG"/>
        </w:rPr>
        <w:t xml:space="preserve">تشير البيانات الصادرة عن </w:t>
      </w:r>
      <w:r w:rsidRPr="003870DF">
        <w:rPr>
          <w:rFonts w:asciiTheme="minorBidi" w:hAnsiTheme="minorBidi"/>
          <w:lang w:bidi="ar-EG"/>
        </w:rPr>
        <w:t>Agrievolution</w:t>
      </w:r>
      <w:r w:rsidRPr="003870DF">
        <w:rPr>
          <w:rFonts w:asciiTheme="minorBidi" w:hAnsiTheme="minorBidi" w:cs="Arial"/>
          <w:rtl/>
          <w:lang w:bidi="ar-EG"/>
        </w:rPr>
        <w:t>، وهي الهيئة التي تجمع اتحادات الشركات المصنعة في البلدان الرئيسية، إلى انخفاض إجمالي مبيعات الجرارات بنسبة 12٪ في الأشهر الستة الأولى من العام مقارنة بالنصف الأول من عام 2023. أما الهند، التي سجلت اتجاهاً متزايداً متواصلاً تقريباً في السنوات الأخيرة، فقد هبطت أسعارها بنسبة 10%، كما فعلت الصين، في حين هبطت الولايات المتحدة بنسبة 12%. وهي علامة سلبية أيضًا بالنسبة لأوروبا الغربية، حيث يتراجع السوقان الوطنيان الرئيسيان، السوق الفرنسية (-8%) والألمانية (-1%)، وإن كان بدرجات متفاوتة. وتم تسجيل انخفاضات ملحوظة في كندا (-16%) واليابان (-28%) وروسيا (-32%) وتركيا (-20%).</w:t>
      </w:r>
    </w:p>
    <w:p w14:paraId="0FE4FAF0" w14:textId="1AF6C3CC" w:rsidR="007664DE" w:rsidRPr="007664DE" w:rsidRDefault="007664DE" w:rsidP="007664DE">
      <w:pPr>
        <w:bidi/>
        <w:rPr>
          <w:rFonts w:asciiTheme="minorBidi" w:hAnsiTheme="minorBidi"/>
          <w:lang w:bidi="ar-EG"/>
        </w:rPr>
      </w:pPr>
      <w:r w:rsidRPr="007664DE">
        <w:rPr>
          <w:rFonts w:asciiTheme="minorBidi" w:hAnsiTheme="minorBidi" w:cs="Arial"/>
          <w:rtl/>
          <w:lang w:bidi="ar-EG"/>
        </w:rPr>
        <w:t xml:space="preserve">لا ينبغي أن يشهد الجزء الثاني من عام 2024 انعكاسات كبيرة في الاتجاه، لذلك من المتوقع بحلول نهاية العام أن تكون الميزانية العمومية الإجمالية باللون الأحمر، حيث لا يتجاوز إجمالي الجرارات المباعة في جميع أنحاء العالم 2 مليون وحدة. ويمثل ذلك أدنى مستوى منذ عام 2016، </w:t>
      </w:r>
      <w:r>
        <w:rPr>
          <w:rFonts w:asciiTheme="minorBidi" w:hAnsiTheme="minorBidi" w:cs="Arial" w:hint="cs"/>
          <w:rtl/>
          <w:lang w:bidi="ar-EG"/>
        </w:rPr>
        <w:t>حيث انه</w:t>
      </w:r>
      <w:r w:rsidRPr="007664DE">
        <w:rPr>
          <w:rFonts w:asciiTheme="minorBidi" w:hAnsiTheme="minorBidi" w:cs="Arial"/>
          <w:rtl/>
          <w:lang w:bidi="ar-EG"/>
        </w:rPr>
        <w:t xml:space="preserve"> - كما تم توضيحه خلال المؤتمر - في الفترة 2017-2023، كان عدد الجرارات المباعة عالميا يساوي في المتوسط ​​2.2 مليون وحدة، مع وصول المبيعات إلى ذروتها في عام 2021 (2.5 مليون) و في عام 2022 (2.4 مليون).</w:t>
      </w:r>
    </w:p>
    <w:p w14:paraId="5E7B95EA" w14:textId="7D07693C" w:rsidR="007664DE" w:rsidRPr="007664DE" w:rsidRDefault="007664DE" w:rsidP="007664DE">
      <w:pPr>
        <w:bidi/>
        <w:rPr>
          <w:rFonts w:asciiTheme="minorBidi" w:hAnsiTheme="minorBidi"/>
          <w:lang w:bidi="ar-EG"/>
        </w:rPr>
      </w:pPr>
      <w:r w:rsidRPr="007664DE">
        <w:rPr>
          <w:rFonts w:asciiTheme="minorBidi" w:hAnsiTheme="minorBidi" w:cs="Arial"/>
          <w:rtl/>
          <w:lang w:bidi="ar-EG"/>
        </w:rPr>
        <w:t xml:space="preserve">ومع ذلك، فإن انكماش السوق العالمية المسجل في العام الماضي وفي النصف الأول من هذا العام يعزى إلى عوامل اقتصادية أكثر منه إلى الانخفاض الحقيقي في الطلب العالمي. "على المدى المتوسط ​​والطويل، من المتوقع أن تنمو الحاجة إلى التقنيات الزراعية للقطاع الأولي، مدفوعة بالتطور المستمر للزراعة </w:t>
      </w:r>
      <w:r>
        <w:rPr>
          <w:rFonts w:asciiTheme="minorBidi" w:hAnsiTheme="minorBidi" w:cs="Arial"/>
          <w:rtl/>
          <w:lang w:bidi="ar-EG"/>
        </w:rPr>
        <w:t>–</w:t>
      </w:r>
      <w:r w:rsidRPr="007664DE">
        <w:rPr>
          <w:rFonts w:asciiTheme="minorBidi" w:hAnsiTheme="minorBidi" w:cs="Arial"/>
          <w:rtl/>
          <w:lang w:bidi="ar-EG"/>
        </w:rPr>
        <w:t xml:space="preserve"> </w:t>
      </w:r>
      <w:r>
        <w:rPr>
          <w:rFonts w:asciiTheme="minorBidi" w:hAnsiTheme="minorBidi" w:cs="Arial" w:hint="cs"/>
          <w:rtl/>
          <w:lang w:bidi="ar-EG"/>
        </w:rPr>
        <w:t xml:space="preserve">كم </w:t>
      </w:r>
      <w:r w:rsidRPr="007664DE">
        <w:rPr>
          <w:rFonts w:asciiTheme="minorBidi" w:hAnsiTheme="minorBidi" w:cs="Arial"/>
          <w:rtl/>
          <w:lang w:bidi="ar-EG"/>
        </w:rPr>
        <w:t>أوضح</w:t>
      </w:r>
      <w:r w:rsidRPr="007664DE">
        <w:rPr>
          <w:rFonts w:asciiTheme="minorBidi" w:hAnsiTheme="minorBidi" w:cs="Arial"/>
          <w:lang w:bidi="ar-EG"/>
        </w:rPr>
        <w:t xml:space="preserve">Mariateresa </w:t>
      </w:r>
      <w:r w:rsidRPr="007664DE">
        <w:rPr>
          <w:rFonts w:asciiTheme="minorBidi" w:hAnsiTheme="minorBidi" w:cs="Arial"/>
          <w:lang w:bidi="ar-EG"/>
        </w:rPr>
        <w:lastRenderedPageBreak/>
        <w:t>Maschio</w:t>
      </w:r>
      <w:r>
        <w:rPr>
          <w:rFonts w:asciiTheme="minorBidi" w:hAnsiTheme="minorBidi" w:cs="Arial" w:hint="cs"/>
          <w:rtl/>
          <w:lang w:bidi="ar-EG"/>
        </w:rPr>
        <w:t xml:space="preserve"> </w:t>
      </w:r>
      <w:r w:rsidRPr="007664DE">
        <w:rPr>
          <w:rFonts w:asciiTheme="minorBidi" w:hAnsiTheme="minorBidi" w:cs="Arial"/>
          <w:rtl/>
          <w:lang w:bidi="ar-EG"/>
        </w:rPr>
        <w:t xml:space="preserve">رئيس </w:t>
      </w:r>
      <w:r w:rsidRPr="007664DE">
        <w:rPr>
          <w:rFonts w:asciiTheme="minorBidi" w:hAnsiTheme="minorBidi"/>
          <w:lang w:bidi="ar-EG"/>
        </w:rPr>
        <w:t xml:space="preserve">FederUnacoma </w:t>
      </w:r>
      <w:r w:rsidRPr="007664DE">
        <w:rPr>
          <w:rFonts w:asciiTheme="minorBidi" w:hAnsiTheme="minorBidi" w:cs="Arial"/>
          <w:rtl/>
          <w:lang w:bidi="ar-EG"/>
        </w:rPr>
        <w:t xml:space="preserve">- والزيادة في عدد سكان العالم، والتي تقدر بـ 10 مليار شخص بحلول عام 2050، </w:t>
      </w:r>
      <w:r>
        <w:rPr>
          <w:rFonts w:asciiTheme="minorBidi" w:hAnsiTheme="minorBidi" w:cs="Arial" w:hint="cs"/>
          <w:rtl/>
          <w:lang w:bidi="ar-EG"/>
        </w:rPr>
        <w:t>وذلك</w:t>
      </w:r>
      <w:r w:rsidRPr="007664DE">
        <w:rPr>
          <w:rFonts w:asciiTheme="minorBidi" w:hAnsiTheme="minorBidi" w:cs="Arial"/>
          <w:rtl/>
          <w:lang w:bidi="ar-EG"/>
        </w:rPr>
        <w:t xml:space="preserve"> سيجعل من الضروري زيادة الإنتاج الزراعي بنسبة 50٪ مقارنة بالمستويات الحالية.</w:t>
      </w:r>
    </w:p>
    <w:p w14:paraId="46330BD9" w14:textId="43A63416" w:rsidR="007664DE" w:rsidRDefault="007664DE" w:rsidP="007664DE">
      <w:pPr>
        <w:bidi/>
        <w:rPr>
          <w:rFonts w:asciiTheme="minorBidi" w:hAnsiTheme="minorBidi" w:cs="Arial"/>
          <w:rtl/>
          <w:lang w:bidi="ar-EG"/>
        </w:rPr>
      </w:pPr>
      <w:r>
        <w:rPr>
          <w:rFonts w:asciiTheme="minorBidi" w:hAnsiTheme="minorBidi" w:cs="Arial" w:hint="cs"/>
          <w:rtl/>
          <w:lang w:bidi="ar-EG"/>
        </w:rPr>
        <w:t>و</w:t>
      </w:r>
      <w:r w:rsidRPr="007664DE">
        <w:rPr>
          <w:rFonts w:asciiTheme="minorBidi" w:hAnsiTheme="minorBidi" w:cs="Arial"/>
          <w:rtl/>
          <w:lang w:bidi="ar-EG"/>
        </w:rPr>
        <w:t>أكد رئيس</w:t>
      </w:r>
      <w:r>
        <w:rPr>
          <w:rFonts w:asciiTheme="minorBidi" w:hAnsiTheme="minorBidi" w:cs="Arial" w:hint="cs"/>
          <w:rtl/>
          <w:lang w:bidi="ar-EG"/>
        </w:rPr>
        <w:t xml:space="preserve"> </w:t>
      </w:r>
      <w:r w:rsidRPr="007664DE">
        <w:rPr>
          <w:rFonts w:asciiTheme="minorBidi" w:hAnsiTheme="minorBidi"/>
          <w:lang w:bidi="ar-EG"/>
        </w:rPr>
        <w:t>FederUnacoma</w:t>
      </w:r>
      <w:r w:rsidRPr="007664DE">
        <w:rPr>
          <w:rFonts w:asciiTheme="minorBidi" w:hAnsiTheme="minorBidi" w:cs="Arial"/>
          <w:rtl/>
          <w:lang w:bidi="ar-EG"/>
        </w:rPr>
        <w:t xml:space="preserve"> </w:t>
      </w:r>
      <w:r>
        <w:rPr>
          <w:rFonts w:asciiTheme="minorBidi" w:hAnsiTheme="minorBidi" w:cs="Arial" w:hint="cs"/>
          <w:rtl/>
          <w:lang w:bidi="ar-EG"/>
        </w:rPr>
        <w:t xml:space="preserve"> </w:t>
      </w:r>
      <w:r w:rsidR="007912F0">
        <w:rPr>
          <w:rFonts w:asciiTheme="minorBidi" w:hAnsiTheme="minorBidi" w:cs="Arial" w:hint="cs"/>
          <w:rtl/>
          <w:lang w:bidi="ar-EG"/>
        </w:rPr>
        <w:t xml:space="preserve">أن </w:t>
      </w:r>
      <w:r w:rsidRPr="007664DE">
        <w:rPr>
          <w:rFonts w:asciiTheme="minorBidi" w:hAnsiTheme="minorBidi" w:cs="Arial"/>
          <w:rtl/>
          <w:lang w:bidi="ar-EG"/>
        </w:rPr>
        <w:t xml:space="preserve">قطاع الآلات الزراعية  يواجه بالتالي تحديًا حاسمًا، ليس فقط من حيث زيادة عوائد الإنتاج، ولكن من حيث الاستدامة. </w:t>
      </w:r>
      <w:r w:rsidR="007912F0">
        <w:rPr>
          <w:rFonts w:asciiTheme="minorBidi" w:hAnsiTheme="minorBidi" w:cs="Arial" w:hint="cs"/>
          <w:rtl/>
          <w:lang w:bidi="ar-EG"/>
        </w:rPr>
        <w:t xml:space="preserve">وأنهى </w:t>
      </w:r>
      <w:r w:rsidR="007912F0" w:rsidRPr="007664DE">
        <w:rPr>
          <w:rFonts w:asciiTheme="minorBidi" w:hAnsiTheme="minorBidi" w:cs="Arial"/>
          <w:lang w:bidi="ar-EG"/>
        </w:rPr>
        <w:t>Maschio</w:t>
      </w:r>
      <w:r w:rsidR="007912F0">
        <w:rPr>
          <w:rFonts w:asciiTheme="minorBidi" w:hAnsiTheme="minorBidi" w:cs="Arial" w:hint="cs"/>
          <w:rtl/>
          <w:lang w:bidi="ar-EG"/>
        </w:rPr>
        <w:t xml:space="preserve"> </w:t>
      </w:r>
      <w:r w:rsidR="007912F0">
        <w:rPr>
          <w:rFonts w:asciiTheme="minorBidi" w:hAnsiTheme="minorBidi" w:cs="Arial" w:hint="cs"/>
          <w:rtl/>
          <w:lang w:bidi="ar-EG"/>
        </w:rPr>
        <w:t xml:space="preserve">حديثه </w:t>
      </w:r>
      <w:r w:rsidRPr="007664DE">
        <w:rPr>
          <w:rFonts w:asciiTheme="minorBidi" w:hAnsiTheme="minorBidi" w:cs="Arial"/>
          <w:rtl/>
          <w:lang w:bidi="ar-EG"/>
        </w:rPr>
        <w:t>"يجب على قطاع الميكانيكا الزراعية أن ينتج تقنيات تتكيف مع السياقات البيئية والمناخية الأكثر تنوعًا، والتي تدعم الزراعة في حل المشكلات المرتبطة بنقص الموارد المائية وفقدان خصوبة التربة".</w:t>
      </w:r>
    </w:p>
    <w:p w14:paraId="7273CD2C" w14:textId="77777777" w:rsidR="007912F0" w:rsidRPr="007664DE" w:rsidRDefault="007912F0" w:rsidP="007912F0">
      <w:pPr>
        <w:bidi/>
        <w:rPr>
          <w:rFonts w:asciiTheme="minorBidi" w:hAnsiTheme="minorBidi"/>
          <w:lang w:bidi="ar-EG"/>
        </w:rPr>
      </w:pPr>
    </w:p>
    <w:p w14:paraId="0CF82B21" w14:textId="2F5A5581" w:rsidR="007664DE" w:rsidRPr="007912F0" w:rsidRDefault="007664DE" w:rsidP="007664DE">
      <w:pPr>
        <w:bidi/>
        <w:rPr>
          <w:rFonts w:asciiTheme="minorBidi" w:hAnsiTheme="minorBidi" w:hint="cs"/>
          <w:b/>
          <w:bCs/>
          <w:rtl/>
          <w:lang w:bidi="ar-EG"/>
        </w:rPr>
      </w:pPr>
      <w:r w:rsidRPr="007912F0">
        <w:rPr>
          <w:rFonts w:asciiTheme="minorBidi" w:hAnsiTheme="minorBidi" w:cs="Arial"/>
          <w:b/>
          <w:bCs/>
          <w:rtl/>
          <w:lang w:bidi="ar-EG"/>
        </w:rPr>
        <w:t>بولونيا، 5 نوفمبر 2024</w:t>
      </w:r>
    </w:p>
    <w:sectPr w:rsidR="007664DE" w:rsidRPr="007912F0"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41"/>
    <w:rsid w:val="00240C8D"/>
    <w:rsid w:val="003870DF"/>
    <w:rsid w:val="003932CA"/>
    <w:rsid w:val="003B4FD2"/>
    <w:rsid w:val="004353CE"/>
    <w:rsid w:val="007664DE"/>
    <w:rsid w:val="007912F0"/>
    <w:rsid w:val="00987F74"/>
    <w:rsid w:val="00992341"/>
    <w:rsid w:val="00AD45D1"/>
    <w:rsid w:val="00C22CEF"/>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2C62"/>
  <w15:chartTrackingRefBased/>
  <w15:docId w15:val="{973F8863-FD9A-46E9-BEE0-C487ECA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2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92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9234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9234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9234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9234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234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234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234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234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9234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9234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9234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9234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923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23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23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23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2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23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23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23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23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2341"/>
    <w:rPr>
      <w:i/>
      <w:iCs/>
      <w:color w:val="404040" w:themeColor="text1" w:themeTint="BF"/>
    </w:rPr>
  </w:style>
  <w:style w:type="paragraph" w:styleId="Paragrafoelenco">
    <w:name w:val="List Paragraph"/>
    <w:basedOn w:val="Normale"/>
    <w:uiPriority w:val="34"/>
    <w:qFormat/>
    <w:rsid w:val="00992341"/>
    <w:pPr>
      <w:ind w:left="720"/>
      <w:contextualSpacing/>
    </w:pPr>
  </w:style>
  <w:style w:type="character" w:styleId="Enfasiintensa">
    <w:name w:val="Intense Emphasis"/>
    <w:basedOn w:val="Carpredefinitoparagrafo"/>
    <w:uiPriority w:val="21"/>
    <w:qFormat/>
    <w:rsid w:val="00992341"/>
    <w:rPr>
      <w:i/>
      <w:iCs/>
      <w:color w:val="2F5496" w:themeColor="accent1" w:themeShade="BF"/>
    </w:rPr>
  </w:style>
  <w:style w:type="paragraph" w:styleId="Citazioneintensa">
    <w:name w:val="Intense Quote"/>
    <w:basedOn w:val="Normale"/>
    <w:next w:val="Normale"/>
    <w:link w:val="CitazioneintensaCarattere"/>
    <w:uiPriority w:val="30"/>
    <w:qFormat/>
    <w:rsid w:val="00992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92341"/>
    <w:rPr>
      <w:i/>
      <w:iCs/>
      <w:color w:val="2F5496" w:themeColor="accent1" w:themeShade="BF"/>
    </w:rPr>
  </w:style>
  <w:style w:type="character" w:styleId="Riferimentointenso">
    <w:name w:val="Intense Reference"/>
    <w:basedOn w:val="Carpredefinitoparagrafo"/>
    <w:uiPriority w:val="32"/>
    <w:qFormat/>
    <w:rsid w:val="00992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552</Words>
  <Characters>3148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Mohamed Yousef</cp:lastModifiedBy>
  <cp:revision>3</cp:revision>
  <dcterms:created xsi:type="dcterms:W3CDTF">2024-11-04T20:29:00Z</dcterms:created>
  <dcterms:modified xsi:type="dcterms:W3CDTF">2024-11-04T21:15:00Z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2024-11-04T21:12:45Z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8b9da896-fc06-44a7-be5b-a20154c51bed</vt:lpwstr>
  </property>
  <property fmtid="{D5CDD505-2E9C-101B-9397-08002B2CF9AE}" pid="8" name="MSIP_Label_defa4170-0d19-0005-0004-bc88714345d2_ContentBits">
    <vt:lpwstr>0</vt:lpwstr>
  </property>
</Properties>
</file>